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7E649" w14:textId="77777777" w:rsidR="008F2F10" w:rsidRDefault="008F2F10" w:rsidP="008F2F10">
      <w:pPr>
        <w:jc w:val="center"/>
        <w:rPr>
          <w:rFonts w:cstheme="minorHAnsi"/>
          <w:b/>
          <w:bCs/>
          <w:iCs/>
          <w:sz w:val="24"/>
          <w:szCs w:val="24"/>
        </w:rPr>
      </w:pPr>
      <w:r w:rsidRPr="008F2F10">
        <w:rPr>
          <w:rFonts w:cstheme="minorHAnsi"/>
          <w:b/>
          <w:bCs/>
          <w:iCs/>
          <w:sz w:val="24"/>
          <w:szCs w:val="24"/>
        </w:rPr>
        <w:t>Tabela Opłat i Prowizji</w:t>
      </w:r>
    </w:p>
    <w:p w14:paraId="6C68163F" w14:textId="04E93E16" w:rsidR="005A6C33" w:rsidRPr="008F2F10" w:rsidRDefault="008F2F10" w:rsidP="008F2F10">
      <w:pPr>
        <w:jc w:val="center"/>
        <w:rPr>
          <w:rFonts w:cs="Calibri"/>
          <w:bCs/>
          <w:i/>
          <w:iCs/>
          <w:sz w:val="24"/>
          <w:szCs w:val="24"/>
        </w:rPr>
      </w:pPr>
      <w:r w:rsidRPr="008F2F10">
        <w:rPr>
          <w:rFonts w:cstheme="minorHAnsi"/>
          <w:b/>
          <w:bCs/>
          <w:iCs/>
          <w:sz w:val="24"/>
          <w:szCs w:val="24"/>
        </w:rPr>
        <w:t>Fundusz Pożyczkowy „Europejskie instrumenty zwrotne na rzecz rozwoju ekonomii społecznej”</w:t>
      </w:r>
      <w:r>
        <w:rPr>
          <w:rFonts w:cstheme="minorHAnsi"/>
          <w:b/>
          <w:bCs/>
          <w:iCs/>
          <w:sz w:val="24"/>
          <w:szCs w:val="24"/>
        </w:rPr>
        <w:t xml:space="preserve"> (Fundusz Pożyczkowy PES)</w:t>
      </w:r>
    </w:p>
    <w:tbl>
      <w:tblPr>
        <w:tblStyle w:val="Tabela-Siatka"/>
        <w:tblW w:w="9889" w:type="dxa"/>
        <w:tblLook w:val="04A0" w:firstRow="1" w:lastRow="0" w:firstColumn="1" w:lastColumn="0" w:noHBand="0" w:noVBand="1"/>
      </w:tblPr>
      <w:tblGrid>
        <w:gridCol w:w="675"/>
        <w:gridCol w:w="3828"/>
        <w:gridCol w:w="2442"/>
        <w:gridCol w:w="2944"/>
      </w:tblGrid>
      <w:tr w:rsidR="0052319C" w:rsidRPr="003F465F" w14:paraId="0735F555" w14:textId="77777777" w:rsidTr="000D6A16">
        <w:tc>
          <w:tcPr>
            <w:tcW w:w="675" w:type="dxa"/>
            <w:shd w:val="pct15" w:color="auto" w:fill="auto"/>
            <w:vAlign w:val="center"/>
          </w:tcPr>
          <w:p w14:paraId="371E02CF" w14:textId="77777777" w:rsidR="0052319C" w:rsidRPr="003F465F" w:rsidRDefault="0052319C" w:rsidP="000D6A16">
            <w:pPr>
              <w:jc w:val="center"/>
              <w:rPr>
                <w:rFonts w:cs="Calibri"/>
                <w:b/>
              </w:rPr>
            </w:pPr>
            <w:r w:rsidRPr="003F465F">
              <w:rPr>
                <w:rFonts w:cs="Calibri"/>
                <w:b/>
              </w:rPr>
              <w:t>L.P.</w:t>
            </w:r>
          </w:p>
        </w:tc>
        <w:tc>
          <w:tcPr>
            <w:tcW w:w="3828" w:type="dxa"/>
            <w:shd w:val="pct15" w:color="auto" w:fill="auto"/>
            <w:vAlign w:val="center"/>
          </w:tcPr>
          <w:p w14:paraId="155E91D9" w14:textId="77777777" w:rsidR="0052319C" w:rsidRPr="003F465F" w:rsidRDefault="0052319C" w:rsidP="000D6A16">
            <w:pPr>
              <w:jc w:val="center"/>
              <w:rPr>
                <w:rFonts w:cs="Calibri"/>
                <w:b/>
              </w:rPr>
            </w:pPr>
            <w:r w:rsidRPr="003F465F">
              <w:rPr>
                <w:rFonts w:cs="Calibri"/>
                <w:b/>
              </w:rPr>
              <w:t>Rodzaj czynności</w:t>
            </w:r>
          </w:p>
        </w:tc>
        <w:tc>
          <w:tcPr>
            <w:tcW w:w="2442" w:type="dxa"/>
            <w:shd w:val="pct15" w:color="auto" w:fill="auto"/>
            <w:vAlign w:val="center"/>
          </w:tcPr>
          <w:p w14:paraId="680DF2B8" w14:textId="77777777" w:rsidR="0052319C" w:rsidRPr="003F465F" w:rsidRDefault="0052319C" w:rsidP="000D6A16">
            <w:pPr>
              <w:jc w:val="center"/>
              <w:rPr>
                <w:rFonts w:cs="Calibri"/>
                <w:b/>
              </w:rPr>
            </w:pPr>
            <w:r w:rsidRPr="003F465F">
              <w:rPr>
                <w:rFonts w:cs="Calibri"/>
                <w:b/>
              </w:rPr>
              <w:t>Wysokość opłaty</w:t>
            </w:r>
          </w:p>
        </w:tc>
        <w:tc>
          <w:tcPr>
            <w:tcW w:w="2944" w:type="dxa"/>
            <w:shd w:val="pct15" w:color="auto" w:fill="auto"/>
            <w:vAlign w:val="center"/>
          </w:tcPr>
          <w:p w14:paraId="7A256238" w14:textId="77777777" w:rsidR="0052319C" w:rsidRPr="003F465F" w:rsidRDefault="0052319C" w:rsidP="000D6A16">
            <w:pPr>
              <w:jc w:val="center"/>
              <w:rPr>
                <w:rFonts w:cs="Calibri"/>
                <w:b/>
              </w:rPr>
            </w:pPr>
            <w:r w:rsidRPr="003F465F">
              <w:rPr>
                <w:rFonts w:cs="Calibri"/>
                <w:b/>
              </w:rPr>
              <w:t>Sposób opłaty lub pobrania</w:t>
            </w:r>
          </w:p>
        </w:tc>
      </w:tr>
      <w:tr w:rsidR="0052319C" w14:paraId="06C5E43F" w14:textId="77777777" w:rsidTr="000D6A16">
        <w:tc>
          <w:tcPr>
            <w:tcW w:w="9889" w:type="dxa"/>
            <w:gridSpan w:val="4"/>
            <w:vAlign w:val="center"/>
          </w:tcPr>
          <w:p w14:paraId="3C118270" w14:textId="77777777" w:rsidR="0052319C" w:rsidRPr="003F465F" w:rsidRDefault="0052319C" w:rsidP="000D6A16">
            <w:pPr>
              <w:jc w:val="center"/>
              <w:rPr>
                <w:rFonts w:cs="Calibri"/>
                <w:b/>
              </w:rPr>
            </w:pPr>
            <w:r w:rsidRPr="003F465F">
              <w:rPr>
                <w:rFonts w:cs="Calibri"/>
                <w:b/>
              </w:rPr>
              <w:t>Opłaty związane ze zmianami aktywnej umowy pożyczkowej</w:t>
            </w:r>
          </w:p>
        </w:tc>
      </w:tr>
      <w:tr w:rsidR="0052319C" w14:paraId="3C632D80" w14:textId="77777777" w:rsidTr="000D6A16">
        <w:tc>
          <w:tcPr>
            <w:tcW w:w="675" w:type="dxa"/>
            <w:vAlign w:val="center"/>
          </w:tcPr>
          <w:p w14:paraId="70D20B64" w14:textId="77777777" w:rsidR="0052319C" w:rsidRPr="003F465F" w:rsidRDefault="0052319C" w:rsidP="0052319C">
            <w:pPr>
              <w:pStyle w:val="Akapitzlist"/>
              <w:numPr>
                <w:ilvl w:val="0"/>
                <w:numId w:val="30"/>
              </w:numPr>
              <w:rPr>
                <w:rFonts w:cs="Calibri"/>
              </w:rPr>
            </w:pPr>
          </w:p>
        </w:tc>
        <w:tc>
          <w:tcPr>
            <w:tcW w:w="3828" w:type="dxa"/>
            <w:vAlign w:val="center"/>
          </w:tcPr>
          <w:p w14:paraId="450BF89C" w14:textId="77777777" w:rsidR="0052319C" w:rsidRDefault="0052319C" w:rsidP="000D6A16">
            <w:pPr>
              <w:rPr>
                <w:rFonts w:cs="Calibri"/>
              </w:rPr>
            </w:pPr>
            <w:r>
              <w:t>Opłata za zmianę terminów płatności rat kapitałowych</w:t>
            </w:r>
          </w:p>
        </w:tc>
        <w:tc>
          <w:tcPr>
            <w:tcW w:w="2442" w:type="dxa"/>
            <w:vAlign w:val="center"/>
          </w:tcPr>
          <w:p w14:paraId="774D471E"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6AAE50EB" w14:textId="77777777" w:rsidR="0052319C" w:rsidRDefault="0052319C" w:rsidP="000D6A16">
            <w:pPr>
              <w:rPr>
                <w:rFonts w:cs="Calibri"/>
              </w:rPr>
            </w:pPr>
            <w:r>
              <w:rPr>
                <w:rFonts w:cs="Calibri"/>
              </w:rPr>
              <w:t>---------------------------------------</w:t>
            </w:r>
          </w:p>
        </w:tc>
      </w:tr>
      <w:tr w:rsidR="0052319C" w14:paraId="3BBC38BB" w14:textId="77777777" w:rsidTr="000D6A16">
        <w:tc>
          <w:tcPr>
            <w:tcW w:w="675" w:type="dxa"/>
            <w:vAlign w:val="center"/>
          </w:tcPr>
          <w:p w14:paraId="43D55114" w14:textId="77777777" w:rsidR="0052319C" w:rsidRPr="003F465F" w:rsidRDefault="0052319C" w:rsidP="0052319C">
            <w:pPr>
              <w:pStyle w:val="Akapitzlist"/>
              <w:numPr>
                <w:ilvl w:val="0"/>
                <w:numId w:val="30"/>
              </w:numPr>
              <w:rPr>
                <w:rFonts w:cs="Calibri"/>
              </w:rPr>
            </w:pPr>
          </w:p>
        </w:tc>
        <w:tc>
          <w:tcPr>
            <w:tcW w:w="3828" w:type="dxa"/>
            <w:vAlign w:val="center"/>
          </w:tcPr>
          <w:p w14:paraId="69945457" w14:textId="77777777" w:rsidR="0052319C" w:rsidRDefault="0052319C" w:rsidP="000D6A16">
            <w:r>
              <w:t>Opłata za zmianę przeznaczenia pożyczki</w:t>
            </w:r>
          </w:p>
        </w:tc>
        <w:tc>
          <w:tcPr>
            <w:tcW w:w="2442" w:type="dxa"/>
            <w:vAlign w:val="center"/>
          </w:tcPr>
          <w:p w14:paraId="7A7472E8"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60691E4C" w14:textId="77777777" w:rsidR="0052319C" w:rsidRDefault="0052319C" w:rsidP="000D6A16">
            <w:pPr>
              <w:rPr>
                <w:rFonts w:cs="Calibri"/>
              </w:rPr>
            </w:pPr>
            <w:r>
              <w:rPr>
                <w:rFonts w:cs="Calibri"/>
              </w:rPr>
              <w:t>---------------------------------------</w:t>
            </w:r>
          </w:p>
        </w:tc>
      </w:tr>
      <w:tr w:rsidR="0052319C" w14:paraId="712D73E5" w14:textId="77777777" w:rsidTr="000D6A16">
        <w:tc>
          <w:tcPr>
            <w:tcW w:w="675" w:type="dxa"/>
            <w:vAlign w:val="center"/>
          </w:tcPr>
          <w:p w14:paraId="3ED91FB9" w14:textId="77777777" w:rsidR="0052319C" w:rsidRPr="003F465F" w:rsidRDefault="0052319C" w:rsidP="0052319C">
            <w:pPr>
              <w:pStyle w:val="Akapitzlist"/>
              <w:numPr>
                <w:ilvl w:val="0"/>
                <w:numId w:val="30"/>
              </w:numPr>
              <w:rPr>
                <w:rFonts w:cs="Calibri"/>
              </w:rPr>
            </w:pPr>
          </w:p>
        </w:tc>
        <w:tc>
          <w:tcPr>
            <w:tcW w:w="3828" w:type="dxa"/>
            <w:vAlign w:val="center"/>
          </w:tcPr>
          <w:p w14:paraId="2AA2C21E" w14:textId="77777777" w:rsidR="0052319C" w:rsidRDefault="0052319C" w:rsidP="000D6A16">
            <w:r>
              <w:t>Opłata za wydanie kopii/odpisu dokumentów związanych z umową pożyczki (np. kopia umowy, aktualny harmonogram itp.)</w:t>
            </w:r>
          </w:p>
        </w:tc>
        <w:tc>
          <w:tcPr>
            <w:tcW w:w="2442" w:type="dxa"/>
            <w:vAlign w:val="center"/>
          </w:tcPr>
          <w:p w14:paraId="40FDBE6F"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617F7161" w14:textId="77777777" w:rsidR="0052319C" w:rsidRDefault="0052319C" w:rsidP="000D6A16">
            <w:pPr>
              <w:rPr>
                <w:rFonts w:cs="Calibri"/>
              </w:rPr>
            </w:pPr>
            <w:r>
              <w:rPr>
                <w:rFonts w:cs="Calibri"/>
              </w:rPr>
              <w:t>---------------------------------------</w:t>
            </w:r>
          </w:p>
        </w:tc>
      </w:tr>
      <w:tr w:rsidR="0052319C" w14:paraId="224575D8" w14:textId="77777777" w:rsidTr="000D6A16">
        <w:tc>
          <w:tcPr>
            <w:tcW w:w="675" w:type="dxa"/>
            <w:vAlign w:val="center"/>
          </w:tcPr>
          <w:p w14:paraId="77C41A57" w14:textId="77777777" w:rsidR="0052319C" w:rsidRPr="003F465F" w:rsidRDefault="0052319C" w:rsidP="0052319C">
            <w:pPr>
              <w:pStyle w:val="Akapitzlist"/>
              <w:numPr>
                <w:ilvl w:val="0"/>
                <w:numId w:val="30"/>
              </w:numPr>
              <w:rPr>
                <w:rFonts w:cs="Calibri"/>
              </w:rPr>
            </w:pPr>
          </w:p>
        </w:tc>
        <w:tc>
          <w:tcPr>
            <w:tcW w:w="3828" w:type="dxa"/>
            <w:vAlign w:val="center"/>
          </w:tcPr>
          <w:p w14:paraId="39336914" w14:textId="77777777" w:rsidR="0052319C" w:rsidRDefault="0052319C" w:rsidP="000D6A16">
            <w:r>
              <w:t>Monitoring, wizyta, kontrola u klienta</w:t>
            </w:r>
          </w:p>
        </w:tc>
        <w:tc>
          <w:tcPr>
            <w:tcW w:w="2442" w:type="dxa"/>
            <w:vAlign w:val="center"/>
          </w:tcPr>
          <w:p w14:paraId="0452E648"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7B590C9A" w14:textId="77777777" w:rsidR="0052319C" w:rsidRDefault="0052319C" w:rsidP="000D6A16">
            <w:pPr>
              <w:rPr>
                <w:rFonts w:cs="Calibri"/>
              </w:rPr>
            </w:pPr>
            <w:r>
              <w:rPr>
                <w:rFonts w:cs="Calibri"/>
              </w:rPr>
              <w:t>---------------------------------------</w:t>
            </w:r>
          </w:p>
        </w:tc>
      </w:tr>
      <w:tr w:rsidR="0052319C" w14:paraId="7AD16471" w14:textId="77777777" w:rsidTr="000D6A16">
        <w:tc>
          <w:tcPr>
            <w:tcW w:w="675" w:type="dxa"/>
            <w:vAlign w:val="center"/>
          </w:tcPr>
          <w:p w14:paraId="5DC6A9B9" w14:textId="77777777" w:rsidR="0052319C" w:rsidRPr="003F465F" w:rsidRDefault="0052319C" w:rsidP="0052319C">
            <w:pPr>
              <w:pStyle w:val="Akapitzlist"/>
              <w:numPr>
                <w:ilvl w:val="0"/>
                <w:numId w:val="30"/>
              </w:numPr>
              <w:rPr>
                <w:rFonts w:cs="Calibri"/>
              </w:rPr>
            </w:pPr>
          </w:p>
        </w:tc>
        <w:tc>
          <w:tcPr>
            <w:tcW w:w="3828" w:type="dxa"/>
            <w:vAlign w:val="center"/>
          </w:tcPr>
          <w:p w14:paraId="2969F846" w14:textId="77777777" w:rsidR="0052319C" w:rsidRDefault="0052319C" w:rsidP="000D6A16">
            <w:r>
              <w:t>Restrukturyzacja pożyczki</w:t>
            </w:r>
          </w:p>
        </w:tc>
        <w:tc>
          <w:tcPr>
            <w:tcW w:w="2442" w:type="dxa"/>
            <w:vAlign w:val="center"/>
          </w:tcPr>
          <w:p w14:paraId="616655A4"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2DF067F8" w14:textId="77777777" w:rsidR="0052319C" w:rsidRDefault="0052319C" w:rsidP="000D6A16">
            <w:pPr>
              <w:rPr>
                <w:rFonts w:cs="Calibri"/>
              </w:rPr>
            </w:pPr>
            <w:r>
              <w:rPr>
                <w:rFonts w:cs="Calibri"/>
              </w:rPr>
              <w:t>---------------------------------------</w:t>
            </w:r>
          </w:p>
        </w:tc>
      </w:tr>
      <w:tr w:rsidR="0052319C" w:rsidRPr="00E7090A" w14:paraId="03FA30FD" w14:textId="77777777" w:rsidTr="000D6A16">
        <w:tc>
          <w:tcPr>
            <w:tcW w:w="9889" w:type="dxa"/>
            <w:gridSpan w:val="4"/>
            <w:vAlign w:val="center"/>
          </w:tcPr>
          <w:p w14:paraId="4E072A9A" w14:textId="77777777" w:rsidR="0052319C" w:rsidRPr="00E7090A" w:rsidRDefault="0052319C" w:rsidP="000D6A16">
            <w:pPr>
              <w:jc w:val="center"/>
              <w:rPr>
                <w:rFonts w:cs="Calibri"/>
                <w:b/>
              </w:rPr>
            </w:pPr>
            <w:r w:rsidRPr="00E7090A">
              <w:rPr>
                <w:rFonts w:cs="Calibri"/>
                <w:b/>
              </w:rPr>
              <w:t>Opłaty związane z nieterminową spłatą pożyczki</w:t>
            </w:r>
          </w:p>
        </w:tc>
      </w:tr>
      <w:tr w:rsidR="0052319C" w14:paraId="5113FC97" w14:textId="77777777" w:rsidTr="000D6A16">
        <w:tc>
          <w:tcPr>
            <w:tcW w:w="675" w:type="dxa"/>
            <w:vAlign w:val="center"/>
          </w:tcPr>
          <w:p w14:paraId="303601A0" w14:textId="77777777" w:rsidR="0052319C" w:rsidRPr="003F465F" w:rsidRDefault="0052319C" w:rsidP="0052319C">
            <w:pPr>
              <w:pStyle w:val="Akapitzlist"/>
              <w:numPr>
                <w:ilvl w:val="0"/>
                <w:numId w:val="30"/>
              </w:numPr>
              <w:rPr>
                <w:rFonts w:cs="Calibri"/>
              </w:rPr>
            </w:pPr>
          </w:p>
        </w:tc>
        <w:tc>
          <w:tcPr>
            <w:tcW w:w="3828" w:type="dxa"/>
            <w:vAlign w:val="center"/>
          </w:tcPr>
          <w:p w14:paraId="22E914F1" w14:textId="77777777" w:rsidR="0052319C" w:rsidRDefault="0052319C" w:rsidP="000D6A16">
            <w:r>
              <w:t>Wysłanie upomnienia drogą elektroniczną /sms</w:t>
            </w:r>
          </w:p>
        </w:tc>
        <w:tc>
          <w:tcPr>
            <w:tcW w:w="2442" w:type="dxa"/>
            <w:vAlign w:val="center"/>
          </w:tcPr>
          <w:p w14:paraId="62D535C5" w14:textId="77777777" w:rsidR="0052319C" w:rsidRPr="005E42DA" w:rsidRDefault="0052319C" w:rsidP="000D6A16">
            <w:pPr>
              <w:jc w:val="center"/>
              <w:rPr>
                <w:rFonts w:cs="Calibri"/>
                <w:b/>
              </w:rPr>
            </w:pPr>
            <w:r w:rsidRPr="005E42DA">
              <w:rPr>
                <w:rFonts w:cs="Calibri"/>
                <w:b/>
              </w:rPr>
              <w:t>0,00 zł</w:t>
            </w:r>
          </w:p>
        </w:tc>
        <w:tc>
          <w:tcPr>
            <w:tcW w:w="2944" w:type="dxa"/>
            <w:vAlign w:val="center"/>
          </w:tcPr>
          <w:p w14:paraId="287CA6B3" w14:textId="77777777" w:rsidR="0052319C" w:rsidRDefault="0052319C" w:rsidP="000D6A16">
            <w:pPr>
              <w:rPr>
                <w:rFonts w:cs="Calibri"/>
              </w:rPr>
            </w:pPr>
            <w:r>
              <w:rPr>
                <w:rFonts w:cs="Calibri"/>
              </w:rPr>
              <w:t>---------------------------------------</w:t>
            </w:r>
          </w:p>
        </w:tc>
      </w:tr>
      <w:tr w:rsidR="0052319C" w14:paraId="7B2A3F60" w14:textId="77777777" w:rsidTr="000D6A16">
        <w:tc>
          <w:tcPr>
            <w:tcW w:w="675" w:type="dxa"/>
            <w:vAlign w:val="center"/>
          </w:tcPr>
          <w:p w14:paraId="06CE0559" w14:textId="77777777" w:rsidR="0052319C" w:rsidRPr="003F465F" w:rsidRDefault="0052319C" w:rsidP="0052319C">
            <w:pPr>
              <w:pStyle w:val="Akapitzlist"/>
              <w:numPr>
                <w:ilvl w:val="0"/>
                <w:numId w:val="30"/>
              </w:numPr>
              <w:rPr>
                <w:rFonts w:cs="Calibri"/>
              </w:rPr>
            </w:pPr>
          </w:p>
        </w:tc>
        <w:tc>
          <w:tcPr>
            <w:tcW w:w="3828" w:type="dxa"/>
            <w:vAlign w:val="center"/>
          </w:tcPr>
          <w:p w14:paraId="28AFEEAA" w14:textId="77777777" w:rsidR="0052319C" w:rsidRDefault="0052319C" w:rsidP="000D6A16">
            <w:r>
              <w:t>Wysłanie upomnienia, wezwania do zapłaty lub wypowiedzenia umowy pożyczkowej lub informacji o skierowaniu sprawy na drogę windykacji sądowej lub pism do poręczycieli lub osób będących dłużnikami rzeczowymi (w przypadku hipotek, przewłaszczenia, zastawu rejestrowego), listem poleconym ze zwrotnym potwierdzeniem odbioru do Pożyczkobiorcy lub Poręczycieli lub Dłużników rzeczowych</w:t>
            </w:r>
          </w:p>
        </w:tc>
        <w:tc>
          <w:tcPr>
            <w:tcW w:w="2442" w:type="dxa"/>
            <w:vAlign w:val="center"/>
          </w:tcPr>
          <w:p w14:paraId="0063C69B" w14:textId="6E844870" w:rsidR="0052319C" w:rsidRDefault="0052319C" w:rsidP="000D6A16">
            <w:pPr>
              <w:jc w:val="center"/>
              <w:rPr>
                <w:rFonts w:cs="Calibri"/>
              </w:rPr>
            </w:pPr>
            <w:r w:rsidRPr="005E42DA">
              <w:rPr>
                <w:b/>
              </w:rPr>
              <w:t>20</w:t>
            </w:r>
            <w:r w:rsidR="005E42DA">
              <w:rPr>
                <w:b/>
              </w:rPr>
              <w:t>,00</w:t>
            </w:r>
            <w:r w:rsidRPr="005E42DA">
              <w:rPr>
                <w:b/>
              </w:rPr>
              <w:t xml:space="preserve"> zł</w:t>
            </w:r>
            <w:r>
              <w:t xml:space="preserve"> od każdego wezwania</w:t>
            </w:r>
          </w:p>
        </w:tc>
        <w:tc>
          <w:tcPr>
            <w:tcW w:w="2944" w:type="dxa"/>
            <w:vAlign w:val="center"/>
          </w:tcPr>
          <w:p w14:paraId="0EC6C96E" w14:textId="77777777" w:rsidR="0052319C" w:rsidRDefault="0052319C" w:rsidP="000D6A16">
            <w:pPr>
              <w:rPr>
                <w:rFonts w:cs="Calibri"/>
              </w:rPr>
            </w:pPr>
            <w:r>
              <w:t>Potrącona przy wpłacie zaległej płatności</w:t>
            </w:r>
          </w:p>
        </w:tc>
      </w:tr>
      <w:tr w:rsidR="0052319C" w14:paraId="1B7B9E4B" w14:textId="77777777" w:rsidTr="000D6A16">
        <w:tc>
          <w:tcPr>
            <w:tcW w:w="675" w:type="dxa"/>
            <w:vAlign w:val="center"/>
          </w:tcPr>
          <w:p w14:paraId="1ECE39D9" w14:textId="77777777" w:rsidR="0052319C" w:rsidRPr="003F465F" w:rsidRDefault="0052319C" w:rsidP="0052319C">
            <w:pPr>
              <w:pStyle w:val="Akapitzlist"/>
              <w:numPr>
                <w:ilvl w:val="0"/>
                <w:numId w:val="30"/>
              </w:numPr>
              <w:rPr>
                <w:rFonts w:cs="Calibri"/>
              </w:rPr>
            </w:pPr>
          </w:p>
        </w:tc>
        <w:tc>
          <w:tcPr>
            <w:tcW w:w="3828" w:type="dxa"/>
            <w:vAlign w:val="center"/>
          </w:tcPr>
          <w:p w14:paraId="688DFC24" w14:textId="77777777" w:rsidR="0052319C" w:rsidRDefault="0052319C" w:rsidP="000D6A16">
            <w:r>
              <w:t>Wezwanie do rozliczenia Jednostkowej Pożyczki wysyłane po upływie terminu rozliczenia</w:t>
            </w:r>
          </w:p>
        </w:tc>
        <w:tc>
          <w:tcPr>
            <w:tcW w:w="2442" w:type="dxa"/>
            <w:vAlign w:val="center"/>
          </w:tcPr>
          <w:p w14:paraId="2A0EE7C4" w14:textId="63DBD3AA" w:rsidR="0052319C" w:rsidRDefault="0052319C" w:rsidP="000D6A16">
            <w:pPr>
              <w:jc w:val="center"/>
              <w:rPr>
                <w:rFonts w:cs="Calibri"/>
              </w:rPr>
            </w:pPr>
            <w:r w:rsidRPr="005E42DA">
              <w:rPr>
                <w:b/>
              </w:rPr>
              <w:t>20</w:t>
            </w:r>
            <w:r w:rsidR="005E42DA">
              <w:rPr>
                <w:b/>
              </w:rPr>
              <w:t>,00</w:t>
            </w:r>
            <w:r w:rsidRPr="005E42DA">
              <w:rPr>
                <w:b/>
              </w:rPr>
              <w:t xml:space="preserve"> zł</w:t>
            </w:r>
            <w:r>
              <w:t xml:space="preserve"> od każdego wezwania</w:t>
            </w:r>
          </w:p>
        </w:tc>
        <w:tc>
          <w:tcPr>
            <w:tcW w:w="2944" w:type="dxa"/>
            <w:vAlign w:val="center"/>
          </w:tcPr>
          <w:p w14:paraId="18DE1941" w14:textId="77777777" w:rsidR="0052319C" w:rsidRDefault="0052319C" w:rsidP="000D6A16">
            <w:pPr>
              <w:rPr>
                <w:rFonts w:cs="Calibri"/>
              </w:rPr>
            </w:pPr>
            <w:r>
              <w:t>Potrącona przy wpłacie zaległej płatności</w:t>
            </w:r>
          </w:p>
        </w:tc>
      </w:tr>
      <w:tr w:rsidR="0052319C" w14:paraId="58D86714" w14:textId="77777777" w:rsidTr="000D6A16">
        <w:tc>
          <w:tcPr>
            <w:tcW w:w="675" w:type="dxa"/>
            <w:vAlign w:val="center"/>
          </w:tcPr>
          <w:p w14:paraId="70746841" w14:textId="77777777" w:rsidR="0052319C" w:rsidRPr="003F465F" w:rsidRDefault="0052319C" w:rsidP="0052319C">
            <w:pPr>
              <w:pStyle w:val="Akapitzlist"/>
              <w:numPr>
                <w:ilvl w:val="0"/>
                <w:numId w:val="30"/>
              </w:numPr>
              <w:rPr>
                <w:rFonts w:cs="Calibri"/>
              </w:rPr>
            </w:pPr>
          </w:p>
        </w:tc>
        <w:tc>
          <w:tcPr>
            <w:tcW w:w="3828" w:type="dxa"/>
            <w:vAlign w:val="center"/>
          </w:tcPr>
          <w:p w14:paraId="3CD06A9E" w14:textId="77777777" w:rsidR="0052319C" w:rsidRDefault="0052319C" w:rsidP="000D6A16">
            <w:r>
              <w:t>Odsetki dodatkowe za nieterminowe regulowanie spłat pożyczki</w:t>
            </w:r>
          </w:p>
        </w:tc>
        <w:tc>
          <w:tcPr>
            <w:tcW w:w="2442" w:type="dxa"/>
            <w:vAlign w:val="center"/>
          </w:tcPr>
          <w:p w14:paraId="2297038C" w14:textId="77777777" w:rsidR="0052319C" w:rsidRDefault="0052319C" w:rsidP="000D6A16">
            <w:pPr>
              <w:jc w:val="center"/>
            </w:pPr>
            <w:r>
              <w:t>Odsetki ustawowe za opóźnienia w spłacie aktualne na dzień dokonania spłaty</w:t>
            </w:r>
          </w:p>
        </w:tc>
        <w:tc>
          <w:tcPr>
            <w:tcW w:w="2944" w:type="dxa"/>
            <w:vAlign w:val="center"/>
          </w:tcPr>
          <w:p w14:paraId="166FC4AA" w14:textId="77777777" w:rsidR="0052319C" w:rsidRDefault="0052319C" w:rsidP="000D6A16">
            <w:pPr>
              <w:rPr>
                <w:rFonts w:cs="Calibri"/>
              </w:rPr>
            </w:pPr>
            <w:r>
              <w:t>Potrącona przy wpłacie zaległej płatności</w:t>
            </w:r>
          </w:p>
        </w:tc>
      </w:tr>
    </w:tbl>
    <w:p w14:paraId="00F74263" w14:textId="77777777" w:rsidR="0052319C" w:rsidRPr="00946807" w:rsidRDefault="0052319C" w:rsidP="00946807">
      <w:pPr>
        <w:spacing w:after="0"/>
        <w:rPr>
          <w:rFonts w:cstheme="minorHAnsi"/>
          <w:sz w:val="20"/>
          <w:szCs w:val="20"/>
        </w:rPr>
      </w:pPr>
    </w:p>
    <w:p w14:paraId="28BA7475" w14:textId="77777777" w:rsidR="0052319C" w:rsidRPr="00946807" w:rsidRDefault="0052319C" w:rsidP="00946807">
      <w:pPr>
        <w:spacing w:after="0"/>
        <w:rPr>
          <w:rFonts w:cstheme="minorHAnsi"/>
          <w:sz w:val="20"/>
          <w:szCs w:val="20"/>
        </w:rPr>
      </w:pPr>
    </w:p>
    <w:p w14:paraId="14127198" w14:textId="77777777" w:rsidR="0052319C" w:rsidRPr="00946807" w:rsidRDefault="0052319C" w:rsidP="00946807">
      <w:pPr>
        <w:spacing w:after="0"/>
        <w:rPr>
          <w:rFonts w:cstheme="minorHAnsi"/>
          <w:sz w:val="20"/>
          <w:szCs w:val="20"/>
        </w:rPr>
      </w:pPr>
    </w:p>
    <w:p w14:paraId="229C7EF8" w14:textId="77777777" w:rsidR="0052319C" w:rsidRPr="003C099A" w:rsidRDefault="0052319C" w:rsidP="0052319C">
      <w:pPr>
        <w:spacing w:after="0"/>
        <w:ind w:left="4536"/>
        <w:jc w:val="center"/>
        <w:rPr>
          <w:rFonts w:cstheme="minorHAnsi"/>
        </w:rPr>
      </w:pPr>
      <w:r w:rsidRPr="003C099A">
        <w:rPr>
          <w:rFonts w:cstheme="minorHAnsi"/>
        </w:rPr>
        <w:t>………………………………………………………………</w:t>
      </w:r>
    </w:p>
    <w:p w14:paraId="68BFA866" w14:textId="77777777" w:rsidR="0052319C" w:rsidRPr="003C099A" w:rsidRDefault="0052319C" w:rsidP="0052319C">
      <w:pPr>
        <w:spacing w:after="0"/>
        <w:ind w:left="4536"/>
        <w:jc w:val="center"/>
        <w:rPr>
          <w:rFonts w:cstheme="minorHAnsi"/>
          <w:sz w:val="14"/>
          <w:szCs w:val="14"/>
        </w:rPr>
      </w:pPr>
      <w:r w:rsidRPr="003C099A">
        <w:rPr>
          <w:rFonts w:cstheme="minorHAnsi"/>
          <w:sz w:val="14"/>
          <w:szCs w:val="14"/>
        </w:rPr>
        <w:t>Data i podpis Pożyczkobiorcy</w:t>
      </w:r>
    </w:p>
    <w:p w14:paraId="1BAC515F" w14:textId="77777777" w:rsidR="0052319C" w:rsidRDefault="0052319C" w:rsidP="0052319C">
      <w:pPr>
        <w:spacing w:after="0"/>
        <w:rPr>
          <w:rFonts w:cstheme="minorHAnsi"/>
          <w:sz w:val="20"/>
          <w:szCs w:val="20"/>
        </w:rPr>
      </w:pPr>
    </w:p>
    <w:p w14:paraId="3CBA727E" w14:textId="77777777" w:rsidR="0052319C" w:rsidRDefault="0052319C" w:rsidP="0052319C">
      <w:pPr>
        <w:spacing w:after="0"/>
        <w:rPr>
          <w:rFonts w:cstheme="minorHAnsi"/>
          <w:sz w:val="20"/>
          <w:szCs w:val="20"/>
        </w:rPr>
      </w:pPr>
    </w:p>
    <w:p w14:paraId="57C72277" w14:textId="77777777" w:rsidR="0052319C" w:rsidRPr="003C099A" w:rsidRDefault="0052319C" w:rsidP="0052319C">
      <w:pPr>
        <w:spacing w:after="0"/>
        <w:rPr>
          <w:rFonts w:cstheme="minorHAnsi"/>
          <w:sz w:val="20"/>
          <w:szCs w:val="20"/>
        </w:rPr>
      </w:pPr>
    </w:p>
    <w:p w14:paraId="0D820F24" w14:textId="77777777" w:rsidR="0052319C" w:rsidRPr="003C099A" w:rsidRDefault="0052319C" w:rsidP="0052319C">
      <w:pPr>
        <w:spacing w:after="0"/>
        <w:ind w:left="4536"/>
        <w:jc w:val="center"/>
        <w:rPr>
          <w:rFonts w:cstheme="minorHAnsi"/>
        </w:rPr>
      </w:pPr>
      <w:r w:rsidRPr="003C099A">
        <w:rPr>
          <w:rFonts w:cstheme="minorHAnsi"/>
        </w:rPr>
        <w:t>……………………………………………………………</w:t>
      </w:r>
      <w:r>
        <w:rPr>
          <w:rFonts w:cstheme="minorHAnsi"/>
        </w:rPr>
        <w:t>……</w:t>
      </w:r>
      <w:r w:rsidRPr="003C099A">
        <w:rPr>
          <w:rFonts w:cstheme="minorHAnsi"/>
        </w:rPr>
        <w:t>…………</w:t>
      </w:r>
    </w:p>
    <w:p w14:paraId="2C873402" w14:textId="1939036F" w:rsidR="00601797" w:rsidRPr="00946807" w:rsidRDefault="0052319C" w:rsidP="00946807">
      <w:pPr>
        <w:spacing w:after="0"/>
        <w:ind w:left="4678"/>
        <w:jc w:val="center"/>
        <w:rPr>
          <w:rFonts w:cstheme="minorHAnsi"/>
          <w:sz w:val="14"/>
          <w:szCs w:val="14"/>
        </w:rPr>
      </w:pPr>
      <w:r>
        <w:rPr>
          <w:rFonts w:cstheme="minorHAnsi"/>
          <w:sz w:val="14"/>
          <w:szCs w:val="14"/>
        </w:rPr>
        <w:t>Data i podpisy</w:t>
      </w:r>
      <w:r w:rsidRPr="003C099A">
        <w:rPr>
          <w:rFonts w:cstheme="minorHAnsi"/>
          <w:sz w:val="14"/>
          <w:szCs w:val="14"/>
        </w:rPr>
        <w:t xml:space="preserve"> </w:t>
      </w:r>
      <w:r>
        <w:rPr>
          <w:rFonts w:cstheme="minorHAnsi"/>
          <w:sz w:val="14"/>
          <w:szCs w:val="14"/>
        </w:rPr>
        <w:t>Partnera Finansującego</w:t>
      </w:r>
    </w:p>
    <w:sectPr w:rsidR="00601797" w:rsidRPr="00946807" w:rsidSect="002B2115">
      <w:headerReference w:type="even" r:id="rId8"/>
      <w:headerReference w:type="default" r:id="rId9"/>
      <w:footerReference w:type="even" r:id="rId10"/>
      <w:footerReference w:type="default" r:id="rId11"/>
      <w:headerReference w:type="first" r:id="rId12"/>
      <w:footerReference w:type="first" r:id="rId13"/>
      <w:pgSz w:w="11906" w:h="16838" w:code="9"/>
      <w:pgMar w:top="1276" w:right="1418" w:bottom="1843" w:left="1418"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98680" w14:textId="77777777" w:rsidR="000617AF" w:rsidRDefault="000617AF" w:rsidP="00D013BD">
      <w:pPr>
        <w:spacing w:after="0" w:line="240" w:lineRule="auto"/>
      </w:pPr>
      <w:r>
        <w:separator/>
      </w:r>
    </w:p>
  </w:endnote>
  <w:endnote w:type="continuationSeparator" w:id="0">
    <w:p w14:paraId="211554A0" w14:textId="77777777" w:rsidR="000617AF" w:rsidRDefault="000617AF" w:rsidP="00D01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6F5B1" w14:textId="77777777" w:rsidR="004D1690" w:rsidRDefault="004D169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BB5EC" w14:textId="79B9AB80" w:rsidR="004D1690" w:rsidRDefault="004D1690" w:rsidP="004D1690">
    <w:pPr>
      <w:pStyle w:val="Stopka"/>
      <w:ind w:left="2552" w:right="-709"/>
      <w:jc w:val="center"/>
      <w:rPr>
        <w:b/>
        <w:i/>
        <w:sz w:val="20"/>
        <w:szCs w:val="20"/>
      </w:rPr>
    </w:pPr>
    <w:r w:rsidRPr="004D1690">
      <w:rPr>
        <w:b/>
        <w:i/>
        <w:noProof/>
        <w:sz w:val="20"/>
        <w:szCs w:val="20"/>
        <w:lang w:eastAsia="pl-PL"/>
      </w:rPr>
      <w:drawing>
        <wp:anchor distT="0" distB="0" distL="114300" distR="114300" simplePos="0" relativeHeight="251660288" behindDoc="1" locked="0" layoutInCell="1" allowOverlap="1" wp14:anchorId="17584BBE" wp14:editId="46F085C6">
          <wp:simplePos x="0" y="0"/>
          <wp:positionH relativeFrom="column">
            <wp:posOffset>-740295</wp:posOffset>
          </wp:positionH>
          <wp:positionV relativeFrom="paragraph">
            <wp:posOffset>120015</wp:posOffset>
          </wp:positionV>
          <wp:extent cx="2267585" cy="490855"/>
          <wp:effectExtent l="0" t="0" r="0" b="4445"/>
          <wp:wrapTight wrapText="bothSides">
            <wp:wrapPolygon edited="0">
              <wp:start x="0" y="0"/>
              <wp:lineTo x="0" y="20957"/>
              <wp:lineTo x="21412" y="20957"/>
              <wp:lineTo x="21412" y="0"/>
              <wp:lineTo x="0" y="0"/>
            </wp:wrapPolygon>
          </wp:wrapTight>
          <wp:docPr id="3" name="Obraz 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hał Stasik\Documents\SSCPIR_Logotype2023\SSCPIR_full_color-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67585" cy="49085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mc:AlternateContent>
        <mc:Choice Requires="wps">
          <w:drawing>
            <wp:anchor distT="0" distB="0" distL="114300" distR="114300" simplePos="0" relativeHeight="251659264" behindDoc="0" locked="0" layoutInCell="1" allowOverlap="1" wp14:anchorId="0B25459F" wp14:editId="32D6F8AC">
              <wp:simplePos x="0" y="0"/>
              <wp:positionH relativeFrom="column">
                <wp:posOffset>-514350</wp:posOffset>
              </wp:positionH>
              <wp:positionV relativeFrom="paragraph">
                <wp:posOffset>-49530</wp:posOffset>
              </wp:positionV>
              <wp:extent cx="6743700" cy="0"/>
              <wp:effectExtent l="9525" t="7620" r="9525" b="1143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BE45F"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3.9pt" to="490.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"/>
          </w:pict>
        </mc:Fallback>
      </mc:AlternateContent>
    </w:r>
    <w:r w:rsidRPr="0096525D">
      <w:rPr>
        <w:b/>
        <w:i/>
        <w:sz w:val="20"/>
        <w:szCs w:val="20"/>
      </w:rPr>
      <w:t xml:space="preserve">Stowarzyszenie „Samorządowe Centrum Przedsiębiorczości i Rozwoju” </w:t>
    </w:r>
  </w:p>
  <w:p w14:paraId="008F20D0" w14:textId="1482D1DC" w:rsidR="004D1690" w:rsidRPr="0096525D" w:rsidRDefault="004D1690" w:rsidP="004D1690">
    <w:pPr>
      <w:pStyle w:val="Stopka"/>
      <w:ind w:left="2552" w:right="-709"/>
      <w:jc w:val="center"/>
      <w:rPr>
        <w:b/>
        <w:i/>
        <w:sz w:val="20"/>
        <w:szCs w:val="20"/>
      </w:rPr>
    </w:pPr>
    <w:r w:rsidRPr="0096525D">
      <w:rPr>
        <w:b/>
        <w:i/>
        <w:sz w:val="20"/>
        <w:szCs w:val="20"/>
      </w:rPr>
      <w:t>w Such</w:t>
    </w:r>
    <w:bookmarkStart w:id="0" w:name="_GoBack"/>
    <w:bookmarkEnd w:id="0"/>
    <w:r w:rsidRPr="0096525D">
      <w:rPr>
        <w:b/>
        <w:i/>
        <w:sz w:val="20"/>
        <w:szCs w:val="20"/>
      </w:rPr>
      <w:t>ej Beskidzkiej</w:t>
    </w:r>
  </w:p>
  <w:p w14:paraId="0DEA8BA1" w14:textId="2E5A3C78" w:rsidR="004D1690" w:rsidRPr="0096525D" w:rsidRDefault="004D1690" w:rsidP="004D1690">
    <w:pPr>
      <w:pStyle w:val="Stopka"/>
      <w:ind w:left="2552" w:right="-709"/>
      <w:jc w:val="center"/>
      <w:rPr>
        <w:i/>
        <w:sz w:val="20"/>
        <w:szCs w:val="20"/>
      </w:rPr>
    </w:pPr>
    <w:r>
      <w:rPr>
        <w:i/>
        <w:sz w:val="20"/>
        <w:szCs w:val="20"/>
      </w:rPr>
      <w:t>u</w:t>
    </w:r>
    <w:r w:rsidRPr="0096525D">
      <w:rPr>
        <w:i/>
        <w:sz w:val="20"/>
        <w:szCs w:val="20"/>
      </w:rPr>
      <w:t>l. Mickiewicza 175; 34–200 Sucha Beskidzka</w:t>
    </w:r>
  </w:p>
  <w:p w14:paraId="79FB5E93" w14:textId="77777777" w:rsidR="004D1690" w:rsidRPr="0096525D" w:rsidRDefault="004D1690" w:rsidP="004D1690">
    <w:pPr>
      <w:pStyle w:val="Stopka"/>
      <w:ind w:left="2552" w:right="-709"/>
      <w:jc w:val="center"/>
      <w:rPr>
        <w:i/>
        <w:sz w:val="20"/>
        <w:szCs w:val="20"/>
      </w:rPr>
    </w:pPr>
    <w:r w:rsidRPr="0096525D">
      <w:rPr>
        <w:i/>
        <w:sz w:val="20"/>
        <w:szCs w:val="20"/>
      </w:rPr>
      <w:t>Tel: 33 874 11 03, 33 874 13 15</w:t>
    </w:r>
  </w:p>
  <w:p w14:paraId="3B6836DC" w14:textId="77777777" w:rsidR="004D1690" w:rsidRPr="003A21CC" w:rsidRDefault="004D1690" w:rsidP="004D1690">
    <w:pPr>
      <w:pStyle w:val="Stopka"/>
      <w:ind w:left="2552" w:right="-709"/>
      <w:jc w:val="center"/>
      <w:rPr>
        <w:sz w:val="20"/>
        <w:szCs w:val="20"/>
      </w:rPr>
    </w:pPr>
    <w:hyperlink r:id="rId2" w:history="1">
      <w:r w:rsidRPr="0096525D">
        <w:rPr>
          <w:rStyle w:val="Hipercze"/>
          <w:i/>
          <w:sz w:val="20"/>
          <w:szCs w:val="20"/>
        </w:rPr>
        <w:t>www.funduszemalopolska.pl</w:t>
      </w:r>
    </w:hyperlink>
    <w:r w:rsidRPr="0096525D">
      <w:rPr>
        <w:i/>
        <w:sz w:val="20"/>
        <w:szCs w:val="20"/>
      </w:rPr>
      <w:t xml:space="preserve"> </w:t>
    </w:r>
    <w:r w:rsidRPr="0096525D">
      <w:rPr>
        <w:i/>
        <w:sz w:val="20"/>
        <w:szCs w:val="20"/>
      </w:rPr>
      <w:tab/>
    </w:r>
    <w:r>
      <w:rPr>
        <w:i/>
        <w:sz w:val="20"/>
        <w:szCs w:val="20"/>
      </w:rPr>
      <w:t xml:space="preserve">e-mail: </w:t>
    </w:r>
    <w:hyperlink r:id="rId3" w:history="1">
      <w:r w:rsidRPr="00436DBF">
        <w:rPr>
          <w:rStyle w:val="Hipercze"/>
          <w:i/>
          <w:sz w:val="20"/>
          <w:szCs w:val="20"/>
        </w:rPr>
        <w:t>sekretariat@funduszemalopolska.pl</w:t>
      </w:r>
    </w:hyperlink>
  </w:p>
  <w:p w14:paraId="00214F10" w14:textId="42559A52" w:rsidR="000617AF" w:rsidRPr="004D1690" w:rsidRDefault="004D1690" w:rsidP="004D1690">
    <w:pPr>
      <w:pStyle w:val="Stopka"/>
      <w:ind w:right="-425"/>
      <w:jc w:val="right"/>
      <w:rPr>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Pr>
        <w:b/>
        <w:bCs/>
        <w:noProof/>
        <w:sz w:val="14"/>
        <w:szCs w:val="14"/>
      </w:rPr>
      <w:t>1</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Pr>
        <w:b/>
        <w:bCs/>
        <w:noProof/>
        <w:sz w:val="14"/>
        <w:szCs w:val="14"/>
      </w:rPr>
      <w:t>1</w:t>
    </w:r>
    <w:r w:rsidRPr="0037256A">
      <w:rPr>
        <w:b/>
        <w:bCs/>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56755" w14:textId="77777777" w:rsidR="004D1690" w:rsidRDefault="004D16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C151D" w14:textId="77777777" w:rsidR="000617AF" w:rsidRDefault="000617AF" w:rsidP="00D013BD">
      <w:pPr>
        <w:spacing w:after="0" w:line="240" w:lineRule="auto"/>
      </w:pPr>
      <w:r>
        <w:separator/>
      </w:r>
    </w:p>
  </w:footnote>
  <w:footnote w:type="continuationSeparator" w:id="0">
    <w:p w14:paraId="4EB11261" w14:textId="77777777" w:rsidR="000617AF" w:rsidRDefault="000617AF" w:rsidP="00D013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49E77" w14:textId="77777777" w:rsidR="004D1690" w:rsidRDefault="004D169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B0375" w14:textId="77777777" w:rsidR="008F2F10" w:rsidRDefault="008F2F10" w:rsidP="008F2F10">
    <w:pPr>
      <w:pStyle w:val="Nagwek"/>
    </w:pPr>
    <w:r w:rsidRPr="00B679DE">
      <w:rPr>
        <w:rFonts w:ascii="Aptos" w:eastAsia="Aptos" w:hAnsi="Aptos" w:cs="Times New Roman"/>
        <w:noProof/>
        <w:lang w:eastAsia="pl-PL"/>
      </w:rPr>
      <w:drawing>
        <wp:inline distT="0" distB="0" distL="0" distR="0" wp14:anchorId="7DE069D4" wp14:editId="2548F16A">
          <wp:extent cx="5704205" cy="554575"/>
          <wp:effectExtent l="0" t="0" r="0" b="0"/>
          <wp:docPr id="16964758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205" cy="554575"/>
                  </a:xfrm>
                  <a:prstGeom prst="rect">
                    <a:avLst/>
                  </a:prstGeom>
                  <a:noFill/>
                  <a:ln>
                    <a:noFill/>
                  </a:ln>
                </pic:spPr>
              </pic:pic>
            </a:graphicData>
          </a:graphic>
        </wp:inline>
      </w:drawing>
    </w:r>
  </w:p>
  <w:p w14:paraId="45B7B305" w14:textId="2ACAFEBB" w:rsidR="000617AF" w:rsidRPr="008F2F10" w:rsidRDefault="000617AF" w:rsidP="008F2F1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3699B" w14:textId="77777777" w:rsidR="004D1690" w:rsidRDefault="004D169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6F0F"/>
    <w:multiLevelType w:val="multilevel"/>
    <w:tmpl w:val="E2F0C6E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1C0514E"/>
    <w:multiLevelType w:val="multilevel"/>
    <w:tmpl w:val="FA3EC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2F745E"/>
    <w:multiLevelType w:val="multilevel"/>
    <w:tmpl w:val="7E16B99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B212F78"/>
    <w:multiLevelType w:val="multilevel"/>
    <w:tmpl w:val="D77C5B6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3418B"/>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C0113A2"/>
    <w:multiLevelType w:val="multilevel"/>
    <w:tmpl w:val="136A4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F541FC3"/>
    <w:multiLevelType w:val="multilevel"/>
    <w:tmpl w:val="7EEA3D0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FCC0AA7"/>
    <w:multiLevelType w:val="multilevel"/>
    <w:tmpl w:val="A33CD50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70E76DD"/>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C0574D1"/>
    <w:multiLevelType w:val="multilevel"/>
    <w:tmpl w:val="F3082AB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D0D0A08"/>
    <w:multiLevelType w:val="multilevel"/>
    <w:tmpl w:val="F4DE7E2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15A05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6F51A6"/>
    <w:multiLevelType w:val="multilevel"/>
    <w:tmpl w:val="9614F70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4ED281E"/>
    <w:multiLevelType w:val="multilevel"/>
    <w:tmpl w:val="B080D3D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51515E5"/>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9412607"/>
    <w:multiLevelType w:val="multilevel"/>
    <w:tmpl w:val="B7141FB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104656A"/>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C551698"/>
    <w:multiLevelType w:val="multilevel"/>
    <w:tmpl w:val="31E8DCF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D5907AF"/>
    <w:multiLevelType w:val="multilevel"/>
    <w:tmpl w:val="30FEC60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51AA2F78"/>
    <w:multiLevelType w:val="multilevel"/>
    <w:tmpl w:val="2878DB9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59432FB3"/>
    <w:multiLevelType w:val="multilevel"/>
    <w:tmpl w:val="3FCCCC5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CC1151A"/>
    <w:multiLevelType w:val="multilevel"/>
    <w:tmpl w:val="58B8E90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1460DBD"/>
    <w:multiLevelType w:val="multilevel"/>
    <w:tmpl w:val="B262D170"/>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45672ED"/>
    <w:multiLevelType w:val="multilevel"/>
    <w:tmpl w:val="B65092D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4DF0477"/>
    <w:multiLevelType w:val="multilevel"/>
    <w:tmpl w:val="4FAA8E9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F283396"/>
    <w:multiLevelType w:val="multilevel"/>
    <w:tmpl w:val="DE5A9EA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1232C67"/>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75E6566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873341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B5E1C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7"/>
  </w:num>
  <w:num w:numId="4">
    <w:abstractNumId w:val="19"/>
  </w:num>
  <w:num w:numId="5">
    <w:abstractNumId w:val="27"/>
  </w:num>
  <w:num w:numId="6">
    <w:abstractNumId w:val="4"/>
  </w:num>
  <w:num w:numId="7">
    <w:abstractNumId w:val="26"/>
  </w:num>
  <w:num w:numId="8">
    <w:abstractNumId w:val="9"/>
  </w:num>
  <w:num w:numId="9">
    <w:abstractNumId w:val="16"/>
  </w:num>
  <w:num w:numId="10">
    <w:abstractNumId w:val="5"/>
  </w:num>
  <w:num w:numId="11">
    <w:abstractNumId w:val="18"/>
  </w:num>
  <w:num w:numId="12">
    <w:abstractNumId w:val="1"/>
  </w:num>
  <w:num w:numId="13">
    <w:abstractNumId w:val="2"/>
  </w:num>
  <w:num w:numId="14">
    <w:abstractNumId w:val="0"/>
  </w:num>
  <w:num w:numId="15">
    <w:abstractNumId w:val="15"/>
  </w:num>
  <w:num w:numId="16">
    <w:abstractNumId w:val="28"/>
  </w:num>
  <w:num w:numId="17">
    <w:abstractNumId w:val="8"/>
  </w:num>
  <w:num w:numId="18">
    <w:abstractNumId w:val="17"/>
  </w:num>
  <w:num w:numId="19">
    <w:abstractNumId w:val="22"/>
  </w:num>
  <w:num w:numId="20">
    <w:abstractNumId w:val="10"/>
  </w:num>
  <w:num w:numId="21">
    <w:abstractNumId w:val="12"/>
  </w:num>
  <w:num w:numId="22">
    <w:abstractNumId w:val="6"/>
  </w:num>
  <w:num w:numId="23">
    <w:abstractNumId w:val="3"/>
  </w:num>
  <w:num w:numId="24">
    <w:abstractNumId w:val="13"/>
  </w:num>
  <w:num w:numId="25">
    <w:abstractNumId w:val="23"/>
  </w:num>
  <w:num w:numId="26">
    <w:abstractNumId w:val="25"/>
  </w:num>
  <w:num w:numId="27">
    <w:abstractNumId w:val="24"/>
  </w:num>
  <w:num w:numId="28">
    <w:abstractNumId w:val="11"/>
  </w:num>
  <w:num w:numId="29">
    <w:abstractNumId w:val="29"/>
  </w:num>
  <w:num w:numId="30">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586"/>
    <w:rsid w:val="000100EB"/>
    <w:rsid w:val="00011B54"/>
    <w:rsid w:val="0001577E"/>
    <w:rsid w:val="00020B92"/>
    <w:rsid w:val="00040096"/>
    <w:rsid w:val="0005226F"/>
    <w:rsid w:val="000617AF"/>
    <w:rsid w:val="00073E24"/>
    <w:rsid w:val="000811D2"/>
    <w:rsid w:val="00085AFE"/>
    <w:rsid w:val="000E113C"/>
    <w:rsid w:val="00100C96"/>
    <w:rsid w:val="00101AC6"/>
    <w:rsid w:val="001028D0"/>
    <w:rsid w:val="00121583"/>
    <w:rsid w:val="0016058E"/>
    <w:rsid w:val="00164950"/>
    <w:rsid w:val="00181B2D"/>
    <w:rsid w:val="001B292F"/>
    <w:rsid w:val="001D1881"/>
    <w:rsid w:val="001E6494"/>
    <w:rsid w:val="00202749"/>
    <w:rsid w:val="00221751"/>
    <w:rsid w:val="002268AE"/>
    <w:rsid w:val="002513A9"/>
    <w:rsid w:val="00264A84"/>
    <w:rsid w:val="00274362"/>
    <w:rsid w:val="00277008"/>
    <w:rsid w:val="00285C78"/>
    <w:rsid w:val="002A1D21"/>
    <w:rsid w:val="002B2115"/>
    <w:rsid w:val="002C4F3B"/>
    <w:rsid w:val="002C5553"/>
    <w:rsid w:val="002C5CA7"/>
    <w:rsid w:val="002D17B5"/>
    <w:rsid w:val="002E341D"/>
    <w:rsid w:val="00330B94"/>
    <w:rsid w:val="00366D1B"/>
    <w:rsid w:val="003A376F"/>
    <w:rsid w:val="003B5867"/>
    <w:rsid w:val="003D140E"/>
    <w:rsid w:val="003D1597"/>
    <w:rsid w:val="003E0EBC"/>
    <w:rsid w:val="003F49A5"/>
    <w:rsid w:val="003F78CF"/>
    <w:rsid w:val="00401660"/>
    <w:rsid w:val="00402AC7"/>
    <w:rsid w:val="004179D8"/>
    <w:rsid w:val="0044476E"/>
    <w:rsid w:val="00465EF6"/>
    <w:rsid w:val="00470E6C"/>
    <w:rsid w:val="004A2586"/>
    <w:rsid w:val="004D1690"/>
    <w:rsid w:val="004E18FE"/>
    <w:rsid w:val="00502C7D"/>
    <w:rsid w:val="00503E12"/>
    <w:rsid w:val="0052319C"/>
    <w:rsid w:val="005363B2"/>
    <w:rsid w:val="00550506"/>
    <w:rsid w:val="005614BF"/>
    <w:rsid w:val="005A6C33"/>
    <w:rsid w:val="005C4C55"/>
    <w:rsid w:val="005E42DA"/>
    <w:rsid w:val="005F36B9"/>
    <w:rsid w:val="00601797"/>
    <w:rsid w:val="0061708D"/>
    <w:rsid w:val="00630E68"/>
    <w:rsid w:val="0063603C"/>
    <w:rsid w:val="006367DC"/>
    <w:rsid w:val="006505D1"/>
    <w:rsid w:val="00661C5A"/>
    <w:rsid w:val="00690C92"/>
    <w:rsid w:val="006E6E7A"/>
    <w:rsid w:val="00783E55"/>
    <w:rsid w:val="007A50AC"/>
    <w:rsid w:val="007B7AAA"/>
    <w:rsid w:val="007E0BAB"/>
    <w:rsid w:val="007E5137"/>
    <w:rsid w:val="007E5441"/>
    <w:rsid w:val="0080557A"/>
    <w:rsid w:val="008119FE"/>
    <w:rsid w:val="008409EB"/>
    <w:rsid w:val="00880174"/>
    <w:rsid w:val="008A3B69"/>
    <w:rsid w:val="008C1090"/>
    <w:rsid w:val="008C11AE"/>
    <w:rsid w:val="008E6D42"/>
    <w:rsid w:val="008F2E36"/>
    <w:rsid w:val="008F2F10"/>
    <w:rsid w:val="00904D94"/>
    <w:rsid w:val="00916EB3"/>
    <w:rsid w:val="00937078"/>
    <w:rsid w:val="00946807"/>
    <w:rsid w:val="00954173"/>
    <w:rsid w:val="00955258"/>
    <w:rsid w:val="009623DA"/>
    <w:rsid w:val="009702D7"/>
    <w:rsid w:val="0097113D"/>
    <w:rsid w:val="009B741D"/>
    <w:rsid w:val="009D216C"/>
    <w:rsid w:val="009E394C"/>
    <w:rsid w:val="009E6402"/>
    <w:rsid w:val="00A05808"/>
    <w:rsid w:val="00A711D8"/>
    <w:rsid w:val="00AB6330"/>
    <w:rsid w:val="00AB7BB6"/>
    <w:rsid w:val="00AC47E5"/>
    <w:rsid w:val="00AD01E0"/>
    <w:rsid w:val="00AD269E"/>
    <w:rsid w:val="00AD4B62"/>
    <w:rsid w:val="00B01200"/>
    <w:rsid w:val="00B04C8F"/>
    <w:rsid w:val="00BA03E3"/>
    <w:rsid w:val="00BC1231"/>
    <w:rsid w:val="00BC51E2"/>
    <w:rsid w:val="00BD0689"/>
    <w:rsid w:val="00C01130"/>
    <w:rsid w:val="00C41052"/>
    <w:rsid w:val="00C54D20"/>
    <w:rsid w:val="00C64960"/>
    <w:rsid w:val="00C9492A"/>
    <w:rsid w:val="00CA0DB2"/>
    <w:rsid w:val="00CC389E"/>
    <w:rsid w:val="00CD546E"/>
    <w:rsid w:val="00CE2FB2"/>
    <w:rsid w:val="00CF438A"/>
    <w:rsid w:val="00D013BD"/>
    <w:rsid w:val="00D222A2"/>
    <w:rsid w:val="00D2785C"/>
    <w:rsid w:val="00D35ACF"/>
    <w:rsid w:val="00D52964"/>
    <w:rsid w:val="00D61D44"/>
    <w:rsid w:val="00D63FFA"/>
    <w:rsid w:val="00D869D3"/>
    <w:rsid w:val="00DC2B77"/>
    <w:rsid w:val="00DD4CCB"/>
    <w:rsid w:val="00E05716"/>
    <w:rsid w:val="00E24FE3"/>
    <w:rsid w:val="00E3129C"/>
    <w:rsid w:val="00E408CE"/>
    <w:rsid w:val="00E60112"/>
    <w:rsid w:val="00E940A4"/>
    <w:rsid w:val="00ED6874"/>
    <w:rsid w:val="00F12890"/>
    <w:rsid w:val="00F918F4"/>
    <w:rsid w:val="00FA4F11"/>
    <w:rsid w:val="00FC78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451EE68"/>
  <w15:chartTrackingRefBased/>
  <w15:docId w15:val="{4EB353AB-8AF3-48A8-9155-04A56722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31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D013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13BD"/>
    <w:rPr>
      <w:sz w:val="20"/>
      <w:szCs w:val="20"/>
    </w:rPr>
  </w:style>
  <w:style w:type="character" w:styleId="Odwoanieprzypisukocowego">
    <w:name w:val="endnote reference"/>
    <w:basedOn w:val="Domylnaczcionkaakapitu"/>
    <w:uiPriority w:val="99"/>
    <w:semiHidden/>
    <w:unhideWhenUsed/>
    <w:rsid w:val="00D013BD"/>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D013BD"/>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D013BD"/>
    <w:rPr>
      <w:sz w:val="20"/>
      <w:szCs w:val="20"/>
    </w:rPr>
  </w:style>
  <w:style w:type="character" w:styleId="Odwoanieprzypisudolnego">
    <w:name w:val="footnote reference"/>
    <w:basedOn w:val="Domylnaczcionkaakapitu"/>
    <w:uiPriority w:val="99"/>
    <w:unhideWhenUsed/>
    <w:rsid w:val="00D013BD"/>
    <w:rPr>
      <w:vertAlign w:val="superscript"/>
    </w:rPr>
  </w:style>
  <w:style w:type="paragraph" w:styleId="Akapitzlist">
    <w:name w:val="List Paragraph"/>
    <w:aliases w:val="Numerowanie,List Paragraph"/>
    <w:basedOn w:val="Normalny"/>
    <w:link w:val="AkapitzlistZnak"/>
    <w:uiPriority w:val="34"/>
    <w:qFormat/>
    <w:rsid w:val="00100C96"/>
    <w:pPr>
      <w:ind w:left="720"/>
      <w:contextualSpacing/>
    </w:pPr>
  </w:style>
  <w:style w:type="character" w:styleId="Odwoaniedokomentarza">
    <w:name w:val="annotation reference"/>
    <w:basedOn w:val="Domylnaczcionkaakapitu"/>
    <w:uiPriority w:val="99"/>
    <w:semiHidden/>
    <w:unhideWhenUsed/>
    <w:rsid w:val="003E0EBC"/>
    <w:rPr>
      <w:sz w:val="16"/>
      <w:szCs w:val="16"/>
    </w:rPr>
  </w:style>
  <w:style w:type="paragraph" w:styleId="Tekstkomentarza">
    <w:name w:val="annotation text"/>
    <w:basedOn w:val="Normalny"/>
    <w:link w:val="TekstkomentarzaZnak"/>
    <w:uiPriority w:val="99"/>
    <w:semiHidden/>
    <w:unhideWhenUsed/>
    <w:rsid w:val="003E0E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0EBC"/>
    <w:rPr>
      <w:sz w:val="20"/>
      <w:szCs w:val="20"/>
    </w:rPr>
  </w:style>
  <w:style w:type="paragraph" w:styleId="Tematkomentarza">
    <w:name w:val="annotation subject"/>
    <w:basedOn w:val="Tekstkomentarza"/>
    <w:next w:val="Tekstkomentarza"/>
    <w:link w:val="TematkomentarzaZnak"/>
    <w:uiPriority w:val="99"/>
    <w:semiHidden/>
    <w:unhideWhenUsed/>
    <w:rsid w:val="003E0EBC"/>
    <w:rPr>
      <w:b/>
      <w:bCs/>
    </w:rPr>
  </w:style>
  <w:style w:type="character" w:customStyle="1" w:styleId="TematkomentarzaZnak">
    <w:name w:val="Temat komentarza Znak"/>
    <w:basedOn w:val="TekstkomentarzaZnak"/>
    <w:link w:val="Tematkomentarza"/>
    <w:uiPriority w:val="99"/>
    <w:semiHidden/>
    <w:rsid w:val="003E0EBC"/>
    <w:rPr>
      <w:b/>
      <w:bCs/>
      <w:sz w:val="20"/>
      <w:szCs w:val="20"/>
    </w:rPr>
  </w:style>
  <w:style w:type="paragraph" w:styleId="Tekstdymka">
    <w:name w:val="Balloon Text"/>
    <w:basedOn w:val="Normalny"/>
    <w:link w:val="TekstdymkaZnak"/>
    <w:uiPriority w:val="99"/>
    <w:semiHidden/>
    <w:unhideWhenUsed/>
    <w:rsid w:val="003E0E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0EBC"/>
    <w:rPr>
      <w:rFonts w:ascii="Segoe UI" w:hAnsi="Segoe UI" w:cs="Segoe UI"/>
      <w:sz w:val="18"/>
      <w:szCs w:val="18"/>
    </w:rPr>
  </w:style>
  <w:style w:type="character" w:styleId="Wyrnienieintensywne">
    <w:name w:val="Intense Emphasis"/>
    <w:basedOn w:val="Domylnaczcionkaakapitu"/>
    <w:uiPriority w:val="21"/>
    <w:qFormat/>
    <w:rsid w:val="00E60112"/>
    <w:rPr>
      <w:i/>
      <w:iCs/>
      <w:color w:val="5B9BD5" w:themeColor="accent1"/>
    </w:rPr>
  </w:style>
  <w:style w:type="paragraph" w:styleId="Nagwek">
    <w:name w:val="header"/>
    <w:basedOn w:val="Normalny"/>
    <w:link w:val="NagwekZnak"/>
    <w:uiPriority w:val="99"/>
    <w:unhideWhenUsed/>
    <w:rsid w:val="009711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113D"/>
  </w:style>
  <w:style w:type="paragraph" w:styleId="Stopka">
    <w:name w:val="footer"/>
    <w:basedOn w:val="Normalny"/>
    <w:link w:val="StopkaZnak"/>
    <w:uiPriority w:val="99"/>
    <w:unhideWhenUsed/>
    <w:rsid w:val="009711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13D"/>
  </w:style>
  <w:style w:type="character" w:customStyle="1" w:styleId="AkapitzlistZnak">
    <w:name w:val="Akapit z listą Znak"/>
    <w:aliases w:val="Numerowanie Znak,List Paragraph Znak"/>
    <w:link w:val="Akapitzlist"/>
    <w:uiPriority w:val="34"/>
    <w:locked/>
    <w:rsid w:val="001B292F"/>
  </w:style>
  <w:style w:type="paragraph" w:styleId="Tekstpodstawowy">
    <w:name w:val="Body Text"/>
    <w:basedOn w:val="Normalny"/>
    <w:link w:val="TekstpodstawowyZnak"/>
    <w:uiPriority w:val="99"/>
    <w:unhideWhenUsed/>
    <w:rsid w:val="00AB7BB6"/>
    <w:pPr>
      <w:spacing w:after="120"/>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uiPriority w:val="99"/>
    <w:rsid w:val="00AB7BB6"/>
    <w:rPr>
      <w:rFonts w:ascii="Calibri" w:eastAsia="Times New Roman" w:hAnsi="Calibri" w:cs="Times New Roman"/>
      <w:lang w:eastAsia="pl-PL"/>
    </w:rPr>
  </w:style>
  <w:style w:type="table" w:styleId="Tabela-Siatka">
    <w:name w:val="Table Grid"/>
    <w:aliases w:val="nowy"/>
    <w:basedOn w:val="Standardowy"/>
    <w:uiPriority w:val="39"/>
    <w:rsid w:val="00CA0DB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E341D"/>
    <w:rPr>
      <w:rFonts w:cs="Times New Roman"/>
      <w:color w:val="0563C1" w:themeColor="hyperlink"/>
      <w:u w:val="single"/>
    </w:rPr>
  </w:style>
  <w:style w:type="paragraph" w:customStyle="1" w:styleId="Default">
    <w:name w:val="Default"/>
    <w:rsid w:val="00601797"/>
    <w:pPr>
      <w:autoSpaceDE w:val="0"/>
      <w:autoSpaceDN w:val="0"/>
      <w:adjustRightInd w:val="0"/>
      <w:spacing w:after="0" w:line="240" w:lineRule="auto"/>
    </w:pPr>
    <w:rPr>
      <w:rFonts w:ascii="Calibri" w:eastAsiaTheme="minorEastAsia" w:hAnsi="Calibri" w:cs="Calibri"/>
      <w:color w:val="000000"/>
      <w:sz w:val="24"/>
      <w:szCs w:val="24"/>
      <w:lang w:eastAsia="pl-PL"/>
    </w:rPr>
  </w:style>
  <w:style w:type="paragraph" w:styleId="Poprawka">
    <w:name w:val="Revision"/>
    <w:hidden/>
    <w:uiPriority w:val="99"/>
    <w:semiHidden/>
    <w:rsid w:val="00601797"/>
    <w:pPr>
      <w:spacing w:after="0" w:line="240" w:lineRule="auto"/>
    </w:pPr>
    <w:rPr>
      <w:rFonts w:eastAsiaTheme="minorEastAsia" w:cs="Times New Roman"/>
      <w:lang w:eastAsia="pl-PL"/>
    </w:rPr>
  </w:style>
  <w:style w:type="character" w:customStyle="1" w:styleId="WW8Num23z0">
    <w:name w:val="WW8Num23z0"/>
    <w:rsid w:val="002B2115"/>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kretariat@funduszemalopolska.pl" TargetMode="External"/><Relationship Id="rId2" Type="http://schemas.openxmlformats.org/officeDocument/2006/relationships/hyperlink" Target="http://www.funduszemalopolska.pl"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CCD3-D6D4-4930-9154-A22B3FB8D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264</Words>
  <Characters>1584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Stasik</dc:creator>
  <cp:keywords/>
  <dc:description/>
  <cp:lastModifiedBy>Michał Stasik</cp:lastModifiedBy>
  <cp:revision>7</cp:revision>
  <dcterms:created xsi:type="dcterms:W3CDTF">2024-12-19T08:28:00Z</dcterms:created>
  <dcterms:modified xsi:type="dcterms:W3CDTF">2025-02-13T09:29:00Z</dcterms:modified>
</cp:coreProperties>
</file>